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EB" w:rsidRPr="00960EEB" w:rsidRDefault="00960EEB" w:rsidP="00960EEB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1D1D1D"/>
          <w:kern w:val="0"/>
          <w:szCs w:val="21"/>
        </w:rPr>
      </w:pPr>
      <w:r w:rsidRPr="00960EEB">
        <w:rPr>
          <w:rFonts w:ascii="宋体" w:eastAsia="宋体" w:hAnsi="宋体" w:cs="宋体" w:hint="eastAsia"/>
          <w:color w:val="1D1D1D"/>
          <w:kern w:val="0"/>
          <w:szCs w:val="21"/>
        </w:rPr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18"/>
        <w:gridCol w:w="2164"/>
        <w:gridCol w:w="507"/>
        <w:gridCol w:w="2142"/>
        <w:gridCol w:w="809"/>
        <w:gridCol w:w="1518"/>
        <w:gridCol w:w="664"/>
      </w:tblGrid>
      <w:tr w:rsidR="00960EEB" w:rsidRPr="00960EEB" w:rsidTr="00960EEB">
        <w:trPr>
          <w:trHeight w:val="678"/>
          <w:tblCellSpacing w:w="15" w:type="dxa"/>
          <w:jc w:val="center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ind w:left="152" w:hanging="15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  <w:p w:rsidR="00960EEB" w:rsidRPr="00960EEB" w:rsidRDefault="00960EEB" w:rsidP="00960E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生源</w:t>
            </w:r>
          </w:p>
          <w:p w:rsidR="00960EEB" w:rsidRPr="00960EEB" w:rsidRDefault="00960EEB" w:rsidP="00960EE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60EEB" w:rsidRPr="00960EEB" w:rsidTr="00960EEB">
        <w:trPr>
          <w:trHeight w:val="741"/>
          <w:tblCellSpacing w:w="15" w:type="dxa"/>
          <w:jc w:val="center"/>
        </w:trPr>
        <w:tc>
          <w:tcPr>
            <w:tcW w:w="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农业信息技术类研究室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农业认知计算方法与技术研究；农业科技推广系统管理；产业信息感知；核心网络管理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计算机、信息技术、信息科学、人工智能、认知科学、软件工程、农业经济、农学等相关专业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京内生源应届高校毕业生或社会工作人员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960EEB" w:rsidRPr="00960EEB" w:rsidTr="00960EEB">
        <w:trPr>
          <w:trHeight w:val="741"/>
          <w:tblCellSpacing w:w="15" w:type="dxa"/>
          <w:jc w:val="center"/>
        </w:trPr>
        <w:tc>
          <w:tcPr>
            <w:tcW w:w="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智能模拟与决策；软件开发；农业大数据系统开发；传感技术研发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计算机、信息技术、信息科学、人工智能、认知科学、软件工程、农业经济、农学等相关专业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2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京内生源应届高校毕业生可放宽到本科及以上</w:t>
            </w:r>
          </w:p>
          <w:p w:rsidR="00960EEB" w:rsidRPr="00960EEB" w:rsidRDefault="00960EEB" w:rsidP="00960EE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960EEB" w:rsidRPr="00960EEB" w:rsidTr="00960EEB">
        <w:trPr>
          <w:trHeight w:val="741"/>
          <w:tblCellSpacing w:w="15" w:type="dxa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农业信息分析类研究室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技术情报分析；农业信息分析；农业市场风险管理研究；模型构建；知识产权分析；农业灾害风险评估研究；国别监测研究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情报学、农学、农业遥感、农业经济管理、风险管理、或经济学等相关专业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京内生源应届高校毕业生、博士后出站人员、留学回国人员或社会工作人员</w:t>
            </w:r>
          </w:p>
        </w:tc>
        <w:tc>
          <w:tcPr>
            <w:tcW w:w="62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960EEB" w:rsidRPr="00960EEB" w:rsidTr="00960EEB">
        <w:trPr>
          <w:trHeight w:val="741"/>
          <w:tblCellSpacing w:w="15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农业信息管理类研究室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服务系统研究；学科知识服务；数据描述组织；服务系统研建；学科知识服务；数据研究管理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计算机、管理科学与工程、数字图书馆、情报学、信息管理、农学等相关专业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京内生源应届高校毕业生、博士后出站人员、留学回国人员或社会工作人员</w:t>
            </w:r>
          </w:p>
        </w:tc>
        <w:tc>
          <w:tcPr>
            <w:tcW w:w="62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60EEB" w:rsidRPr="00960EEB" w:rsidTr="00960EEB">
        <w:trPr>
          <w:trHeight w:val="741"/>
          <w:tblCellSpacing w:w="15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期刊编辑类部门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市场开发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经济、广告、市场营销等专业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京内生源应届高校毕业生、博士后出站人员、留学回国人员或社会工作人员</w:t>
            </w:r>
          </w:p>
        </w:tc>
        <w:tc>
          <w:tcPr>
            <w:tcW w:w="62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60EEB" w:rsidRPr="00960EEB" w:rsidTr="00960EEB">
        <w:trPr>
          <w:trHeight w:val="741"/>
          <w:tblCellSpacing w:w="15" w:type="dxa"/>
          <w:jc w:val="center"/>
        </w:trPr>
        <w:tc>
          <w:tcPr>
            <w:tcW w:w="78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职能管理部门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基本建设管理；科技成果转化管理；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建筑类、经济管理、工商管理等相关专业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京内生源应届高校毕业生或社会工作人员</w:t>
            </w:r>
          </w:p>
        </w:tc>
        <w:tc>
          <w:tcPr>
            <w:tcW w:w="62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60EEB" w:rsidRPr="00960EEB" w:rsidTr="00960EEB">
        <w:trPr>
          <w:trHeight w:val="741"/>
          <w:tblCellSpacing w:w="15" w:type="dxa"/>
          <w:jc w:val="center"/>
        </w:trPr>
        <w:tc>
          <w:tcPr>
            <w:tcW w:w="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财会类相关专业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0EE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EB" w:rsidRPr="00960EEB" w:rsidRDefault="00960EEB" w:rsidP="00960E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343B8" w:rsidRDefault="00960EEB">
      <w:r w:rsidRPr="00960EEB">
        <w:rPr>
          <w:rFonts w:ascii="宋体" w:eastAsia="宋体" w:hAnsi="宋体" w:cs="宋体" w:hint="eastAsia"/>
          <w:b/>
          <w:bCs/>
          <w:color w:val="1D1D1D"/>
          <w:kern w:val="0"/>
          <w:szCs w:val="21"/>
          <w:shd w:val="clear" w:color="auto" w:fill="FFFFFF"/>
        </w:rPr>
        <w:lastRenderedPageBreak/>
        <w:t xml:space="preserve">　　注：生源要求“不限”的岗位应届高校毕业生（</w:t>
      </w:r>
      <w:proofErr w:type="gramStart"/>
      <w:r w:rsidRPr="00960EEB">
        <w:rPr>
          <w:rFonts w:ascii="宋体" w:eastAsia="宋体" w:hAnsi="宋体" w:cs="宋体" w:hint="eastAsia"/>
          <w:b/>
          <w:bCs/>
          <w:color w:val="1D1D1D"/>
          <w:kern w:val="0"/>
          <w:szCs w:val="21"/>
          <w:shd w:val="clear" w:color="auto" w:fill="FFFFFF"/>
        </w:rPr>
        <w:t>含京内生源</w:t>
      </w:r>
      <w:proofErr w:type="gramEnd"/>
      <w:r w:rsidRPr="00960EEB">
        <w:rPr>
          <w:rFonts w:ascii="宋体" w:eastAsia="宋体" w:hAnsi="宋体" w:cs="宋体" w:hint="eastAsia"/>
          <w:b/>
          <w:bCs/>
          <w:color w:val="1D1D1D"/>
          <w:kern w:val="0"/>
          <w:szCs w:val="21"/>
          <w:shd w:val="clear" w:color="auto" w:fill="FFFFFF"/>
        </w:rPr>
        <w:t>、京外生源）、留学回国人员、博士后出站人员、社会工作人员均可报名。</w:t>
      </w:r>
    </w:p>
    <w:sectPr w:rsidR="00E343B8" w:rsidSect="00E34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8F8" w:rsidRDefault="007458F8" w:rsidP="00960EEB">
      <w:r>
        <w:separator/>
      </w:r>
    </w:p>
  </w:endnote>
  <w:endnote w:type="continuationSeparator" w:id="0">
    <w:p w:rsidR="007458F8" w:rsidRDefault="007458F8" w:rsidP="00960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8F8" w:rsidRDefault="007458F8" w:rsidP="00960EEB">
      <w:r>
        <w:separator/>
      </w:r>
    </w:p>
  </w:footnote>
  <w:footnote w:type="continuationSeparator" w:id="0">
    <w:p w:rsidR="007458F8" w:rsidRDefault="007458F8" w:rsidP="00960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EEB"/>
    <w:rsid w:val="007458F8"/>
    <w:rsid w:val="00960EEB"/>
    <w:rsid w:val="00E3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E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2017-02-05T08:42:00Z</dcterms:created>
  <dcterms:modified xsi:type="dcterms:W3CDTF">2017-02-05T08:42:00Z</dcterms:modified>
</cp:coreProperties>
</file>