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</w:pPr>
    </w:p>
    <w:tbl>
      <w:tblPr>
        <w:tblW w:w="13086" w:type="dxa"/>
        <w:tblInd w:w="1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6"/>
        <w:gridCol w:w="450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Calibri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岗位名称及人数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Calibri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ascii="仿宋_GB2312" w:hAnsi="??" w:eastAsia="仿宋_GB2312" w:cs="仿宋_GB2312"/>
                <w:sz w:val="24"/>
                <w:szCs w:val="24"/>
                <w:bdr w:val="none" w:color="auto" w:sz="0" w:space="0"/>
              </w:rPr>
              <w:t>档案馆专业技术人员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both"/>
            </w:pP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计算机类专业，年龄在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周岁以下（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1986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日以后出生）。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网络与信息技术中心专业技术人员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both"/>
            </w:pP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计算机类专业，年龄在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周岁以下（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1986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日以后出生）。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</w:trPr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??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学报编辑1名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</w:pP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学报编辑为理科版编辑。年龄在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周岁以下（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1986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日以后出生），如有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年以上学报编辑工作经验，年龄可适当放宽。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left"/>
            </w:pPr>
            <w:r>
              <w:rPr>
                <w:rFonts w:hint="default" w:ascii="仿宋_GB2312" w:hAnsi="??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理工科专业，如为文科专业须有两年以上学报理科版编辑工作经验。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default" w:ascii="仿宋_GB2312" w:hAnsi="??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审计处工作人员1名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both"/>
            </w:pP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工程审计类专业。年龄在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周岁以下（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1986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??" w:eastAsia="仿宋_GB2312" w:cs="仿宋_GB2312"/>
                <w:sz w:val="24"/>
                <w:szCs w:val="24"/>
                <w:bdr w:val="none" w:color="auto" w:sz="0" w:space="0"/>
              </w:rPr>
              <w:t>日以后出生）。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left"/>
            </w:pPr>
            <w:r>
              <w:rPr>
                <w:rFonts w:hint="default" w:ascii="仿宋_GB2312" w:hAnsi="??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审计专业且有工程管理或工程造价或土木工程背景的，均可报名。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C362E"/>
    <w:rsid w:val="75EC36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2016-04-15T03:39:00Z</dcterms:created>
  <dc:creator>Administrator</dc:creator>
  <cp:lastModifiedBy>Administrator</cp:lastModifiedBy>
  <dcterms:modified xsi:type="dcterms:W3CDTF">2016-04-15T03:40:12Z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